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50D" w:rsidRPr="00DC250D" w:rsidRDefault="00DC250D" w:rsidP="00DC250D">
      <w:pPr>
        <w:shd w:val="clear" w:color="auto" w:fill="FFFFFF"/>
        <w:spacing w:after="540" w:line="240" w:lineRule="auto"/>
        <w:outlineLvl w:val="0"/>
        <w:rPr>
          <w:rFonts w:ascii="Arial" w:eastAsia="Times New Roman" w:hAnsi="Arial" w:cs="Arial"/>
          <w:b/>
          <w:bCs/>
          <w:caps/>
          <w:color w:val="3C4052"/>
          <w:kern w:val="36"/>
          <w:sz w:val="48"/>
          <w:szCs w:val="48"/>
          <w:lang w:eastAsia="ru-RU"/>
        </w:rPr>
      </w:pPr>
      <w:r w:rsidRPr="00DC250D">
        <w:rPr>
          <w:rFonts w:ascii="Arial" w:eastAsia="Times New Roman" w:hAnsi="Arial" w:cs="Arial"/>
          <w:b/>
          <w:bCs/>
          <w:caps/>
          <w:color w:val="3C4052"/>
          <w:kern w:val="36"/>
          <w:sz w:val="48"/>
          <w:szCs w:val="48"/>
          <w:lang w:eastAsia="ru-RU"/>
        </w:rPr>
        <w:t>ПРАВА ПОТРЕБИТЕЛЕЙ В 2024 Г.</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Потребитель имеет право на приобретение товаров (работ, услуг) надлежащего качества, на их безопасность, на информацию о товарах (работах, услугах) и об их изготовителях (исполнителях, продавцах), а также право на возмещение вреда, причиненного вследствие недостатков товара (работы, услуги).</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Рассмотрим основные права потребителя подробнее.</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Право на качество товара</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Право на качество обеспечивает потребителю извлечение из товара (работы, услуги) заявленных потребительских свойств.</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Любой товар или услуга должны соответствовать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от 07.02.1992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Наличие неоговоренных недостатков в товаре является основанием для того, чтобы вернуть товар и предъявить в установленные сроки к продавцу (изготовителю, уполномоченной организации или уполномоченному индивидуальному предпринимателю, импортеру) следующие требования: возместить убытки, причиненные вследствие покупки товара ненадлежащего качества, компенсировать моральный вред, а также выплатить неустойку.</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Право на качество услуги</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(ст. 15, п. 1 ст. 18, ст. 19, п. 1 ст. 23, ст. ст. 28, 29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Право потребителя на качество товара включает в себя также следующие права (ст. 6, п. 1 ст. 18, ст. 21, п. 1 ст. 29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на ремонт и техническое обслуживание товара в течение срока его службы;</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w:t>
      </w:r>
      <w:hyperlink r:id="rId4" w:tgtFrame="_blank" w:history="1">
        <w:r w:rsidRPr="00DC250D">
          <w:rPr>
            <w:rFonts w:ascii="Arial" w:eastAsia="Times New Roman" w:hAnsi="Arial" w:cs="Arial"/>
            <w:color w:val="3C4052"/>
            <w:sz w:val="24"/>
            <w:szCs w:val="24"/>
            <w:u w:val="single"/>
            <w:lang w:eastAsia="ru-RU"/>
          </w:rPr>
          <w:t>замену</w:t>
        </w:r>
      </w:hyperlink>
      <w:r w:rsidRPr="00DC250D">
        <w:rPr>
          <w:rFonts w:ascii="Arial" w:eastAsia="Times New Roman" w:hAnsi="Arial" w:cs="Arial"/>
          <w:color w:val="3C4052"/>
          <w:sz w:val="24"/>
          <w:szCs w:val="24"/>
          <w:lang w:eastAsia="ru-RU"/>
        </w:rPr>
        <w:t> товара ненадлежащего качества на товар надлежащего качества;</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соразмерное уменьшение стоимости товара в случае обнаружения в товаре недостатков, о которых продавец не сообщил;</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безвозмездное устранение недостатков товара;</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w:t>
      </w:r>
      <w:hyperlink r:id="rId5" w:tgtFrame="_blank" w:history="1">
        <w:r w:rsidRPr="00DC250D">
          <w:rPr>
            <w:rFonts w:ascii="Arial" w:eastAsia="Times New Roman" w:hAnsi="Arial" w:cs="Arial"/>
            <w:color w:val="3C4052"/>
            <w:sz w:val="24"/>
            <w:szCs w:val="24"/>
            <w:u w:val="single"/>
            <w:lang w:eastAsia="ru-RU"/>
          </w:rPr>
          <w:t>отказ</w:t>
        </w:r>
      </w:hyperlink>
      <w:r w:rsidRPr="00DC250D">
        <w:rPr>
          <w:rFonts w:ascii="Arial" w:eastAsia="Times New Roman" w:hAnsi="Arial" w:cs="Arial"/>
          <w:color w:val="3C4052"/>
          <w:sz w:val="24"/>
          <w:szCs w:val="24"/>
          <w:lang w:eastAsia="ru-RU"/>
        </w:rPr>
        <w:t> от исполнения договора купли-продажи и возврат уплаченной за товар суммы.</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Право потребителя на качество работы (услуги) включает в себя, в частности, следующие права (п. 1 ст. 29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lastRenderedPageBreak/>
        <w:br/>
        <w:t>• на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уменьшение цены выполненной работы (оказанной услуги) при обнаружении в ней недостатков.</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Право на безопасность товара</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Безопасность обеспечивается системой обязательных требований, закрепленных в НПА (п. п. 1, 2 ст. 7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Убытки возмещаются сверх неустойки (пеней), установленной законом или договором. Кроме того,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 п. 2, 3 ст. 13 Закона N 2300-1; п. 31 Постановления Пленума Верховного Суда РФ от 28.06.2012 N 17).</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Убытки, причиненные потребителю в связи с отзывом товара (работы, услуги), также возмещаются в полном объеме (п. п. 2, 5 ст. 7, п. п. 1, 4 ст. 14 Закона N 2300-1).</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Право потребителя на информацию</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lastRenderedPageBreak/>
        <w:br/>
        <w:t>• об изготовителе, исполнителе, продавце, включая наименование, адрес, идентификаторы в виде номера ОГРН, ОГРНИП, информацию о лицензии и режиме работы;</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о сроках для предъявления требований в отношении недостатков товара.</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 (п. 2 ст. 8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Предоставляемая потребителю информация о товарах (работах, услугах) должна обеспечивать возможность их правильного выбора (п. 1 ст. 10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Если недостоверная или неполная информация привела к причинению вреда жизни, здоровью и имуществу потребителя или к неправильному выбору, то потребитель вправе </w:t>
      </w:r>
      <w:hyperlink r:id="rId6" w:tgtFrame="_blank" w:history="1">
        <w:r w:rsidRPr="00DC250D">
          <w:rPr>
            <w:rFonts w:ascii="Arial" w:eastAsia="Times New Roman" w:hAnsi="Arial" w:cs="Arial"/>
            <w:color w:val="3C4052"/>
            <w:sz w:val="24"/>
            <w:szCs w:val="24"/>
            <w:u w:val="single"/>
            <w:lang w:eastAsia="ru-RU"/>
          </w:rPr>
          <w:t>требовать</w:t>
        </w:r>
      </w:hyperlink>
      <w:r w:rsidRPr="00DC250D">
        <w:rPr>
          <w:rFonts w:ascii="Arial" w:eastAsia="Times New Roman" w:hAnsi="Arial" w:cs="Arial"/>
          <w:color w:val="3C4052"/>
          <w:sz w:val="24"/>
          <w:szCs w:val="24"/>
          <w:lang w:eastAsia="ru-RU"/>
        </w:rPr>
        <w:t> расторжения договора и возмещения вреда и понесенных убытков (п. п. 2, 3 ст. 12 Закона N 2300-1).</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Судебная защита прав потребителей</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по месту нахождения организации или по месту жительства индивидуального предпринимателя;</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по месту жительства или пребывания потребителя;</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по месту заключения или исполнения договора.</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 xml:space="preserve">Права потребителя и </w:t>
      </w:r>
      <w:proofErr w:type="spellStart"/>
      <w:r w:rsidRPr="00DC250D">
        <w:rPr>
          <w:rFonts w:ascii="Arial" w:eastAsia="Times New Roman" w:hAnsi="Arial" w:cs="Arial"/>
          <w:b/>
          <w:bCs/>
          <w:color w:val="3C4052"/>
          <w:sz w:val="24"/>
          <w:szCs w:val="24"/>
          <w:lang w:eastAsia="ru-RU"/>
        </w:rPr>
        <w:t>Роспотребнадзор</w:t>
      </w:r>
      <w:proofErr w:type="spellEnd"/>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 xml:space="preserve">Также потребители имеют право обращаться в </w:t>
      </w:r>
      <w:proofErr w:type="spellStart"/>
      <w:r w:rsidRPr="00DC250D">
        <w:rPr>
          <w:rFonts w:ascii="Arial" w:eastAsia="Times New Roman" w:hAnsi="Arial" w:cs="Arial"/>
          <w:color w:val="3C4052"/>
          <w:sz w:val="24"/>
          <w:szCs w:val="24"/>
          <w:lang w:eastAsia="ru-RU"/>
        </w:rPr>
        <w:t>Роспотребнадзор</w:t>
      </w:r>
      <w:proofErr w:type="spellEnd"/>
      <w:r w:rsidRPr="00DC250D">
        <w:rPr>
          <w:rFonts w:ascii="Arial" w:eastAsia="Times New Roman" w:hAnsi="Arial" w:cs="Arial"/>
          <w:color w:val="3C4052"/>
          <w:sz w:val="24"/>
          <w:szCs w:val="24"/>
          <w:lang w:eastAsia="ru-RU"/>
        </w:rPr>
        <w:t xml:space="preserve"> как специальный уполномоченный орган в сфере защиты прав потребителей, который вправе, в частности (ст. 40 Закона N 2300-1; Постановление Правительства РФ от 02.05.2012 N 412):</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проводить проверки изготовителей, продавцов, исполнителей и иных организаций.</w:t>
      </w:r>
      <w:bookmarkStart w:id="0" w:name="_GoBack"/>
      <w:bookmarkEnd w:id="0"/>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принимать меры по предотвращению нарушений;</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привлекать виновных лиц к административной ответственности;</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участвовать в судебной защите прав конкретных потребителей;</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lastRenderedPageBreak/>
        <w:br/>
        <w:t>• подавать иски о защите неопределенного круга лиц;</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давать разъяснения законодательства в области защиты прав потребителей.</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b/>
          <w:bCs/>
          <w:color w:val="3C4052"/>
          <w:sz w:val="24"/>
          <w:szCs w:val="24"/>
          <w:lang w:eastAsia="ru-RU"/>
        </w:rPr>
        <w:t>Союз потребителей</w:t>
      </w:r>
    </w:p>
    <w:p w:rsidR="00DC250D" w:rsidRPr="00DC250D" w:rsidRDefault="00DC250D" w:rsidP="00DC250D">
      <w:pPr>
        <w:shd w:val="clear" w:color="auto" w:fill="FFFFFF"/>
        <w:spacing w:before="100" w:beforeAutospacing="1" w:after="100" w:afterAutospacing="1" w:line="240" w:lineRule="auto"/>
        <w:rPr>
          <w:rFonts w:ascii="Arial" w:eastAsia="Times New Roman" w:hAnsi="Arial" w:cs="Arial"/>
          <w:color w:val="3C4052"/>
          <w:sz w:val="24"/>
          <w:szCs w:val="24"/>
          <w:lang w:eastAsia="ru-RU"/>
        </w:rPr>
      </w:pPr>
      <w:r w:rsidRPr="00DC250D">
        <w:rPr>
          <w:rFonts w:ascii="Arial" w:eastAsia="Times New Roman" w:hAnsi="Arial" w:cs="Arial"/>
          <w:color w:val="3C4052"/>
          <w:sz w:val="24"/>
          <w:szCs w:val="24"/>
          <w:lang w:eastAsia="ru-RU"/>
        </w:rPr>
        <w:t>Также потребители могут объединяться в ассоциации и союзы, которые наделены, в частности, следующими правами (ст. 45 Закона N 2300-1):</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осуществлять общественный контроль за соблюдением прав потребителей;</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участвовать в проведении экспертиз по фактам нарушений прав потребителей в связи с обращениями потребителей;</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w:t>
      </w:r>
      <w:r w:rsidRPr="00DC250D">
        <w:rPr>
          <w:rFonts w:ascii="Arial" w:eastAsia="Times New Roman" w:hAnsi="Arial" w:cs="Arial"/>
          <w:color w:val="3C4052"/>
          <w:sz w:val="24"/>
          <w:szCs w:val="24"/>
          <w:lang w:eastAsia="ru-RU"/>
        </w:rPr>
        <w:br/>
      </w:r>
      <w:r w:rsidRPr="00DC250D">
        <w:rPr>
          <w:rFonts w:ascii="Arial" w:eastAsia="Times New Roman" w:hAnsi="Arial" w:cs="Arial"/>
          <w:color w:val="3C4052"/>
          <w:sz w:val="24"/>
          <w:szCs w:val="24"/>
          <w:lang w:eastAsia="ru-RU"/>
        </w:rPr>
        <w:br/>
        <w:t>• 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569BC" w:rsidRDefault="000569BC"/>
    <w:sectPr w:rsidR="00056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58"/>
    <w:rsid w:val="000569BC"/>
    <w:rsid w:val="00340C58"/>
    <w:rsid w:val="00DC2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37071-AAAB-44B4-8FE5-E23F1346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40746">
      <w:bodyDiv w:val="1"/>
      <w:marLeft w:val="0"/>
      <w:marRight w:val="0"/>
      <w:marTop w:val="0"/>
      <w:marBottom w:val="0"/>
      <w:divBdr>
        <w:top w:val="none" w:sz="0" w:space="0" w:color="auto"/>
        <w:left w:val="none" w:sz="0" w:space="0" w:color="auto"/>
        <w:bottom w:val="none" w:sz="0" w:space="0" w:color="auto"/>
        <w:right w:val="none" w:sz="0" w:space="0" w:color="auto"/>
      </w:divBdr>
      <w:divsChild>
        <w:div w:id="888810348">
          <w:marLeft w:val="0"/>
          <w:marRight w:val="0"/>
          <w:marTop w:val="0"/>
          <w:marBottom w:val="0"/>
          <w:divBdr>
            <w:top w:val="none" w:sz="0" w:space="0" w:color="auto"/>
            <w:left w:val="none" w:sz="0" w:space="0" w:color="auto"/>
            <w:bottom w:val="none" w:sz="0" w:space="0" w:color="auto"/>
            <w:right w:val="none" w:sz="0" w:space="0" w:color="auto"/>
          </w:divBdr>
          <w:divsChild>
            <w:div w:id="1383672329">
              <w:marLeft w:val="0"/>
              <w:marRight w:val="0"/>
              <w:marTop w:val="0"/>
              <w:marBottom w:val="0"/>
              <w:divBdr>
                <w:top w:val="none" w:sz="0" w:space="0" w:color="auto"/>
                <w:left w:val="none" w:sz="0" w:space="0" w:color="auto"/>
                <w:bottom w:val="none" w:sz="0" w:space="0" w:color="auto"/>
                <w:right w:val="none" w:sz="0" w:space="0" w:color="auto"/>
              </w:divBdr>
              <w:divsChild>
                <w:div w:id="136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29.ru/courts-cases/zashchita-prav-potrebiteley/delo-o-vozvrate-avtomobilya-v-avtosalon/" TargetMode="External"/><Relationship Id="rId5" Type="http://schemas.openxmlformats.org/officeDocument/2006/relationships/hyperlink" Target="https://ur29.ru/courts-cases/zashchita-prav-potrebiteley/delo-o-vozvrate-ayfona/" TargetMode="External"/><Relationship Id="rId4" Type="http://schemas.openxmlformats.org/officeDocument/2006/relationships/hyperlink" Target="https://ur29.ru/courts-cases/zashchita-prav-potrebiteley/zamena-tovara-nenadlezhashchego-kachestva-na-analogichny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2024-07-16T07:46:00Z</dcterms:created>
  <dcterms:modified xsi:type="dcterms:W3CDTF">2024-07-16T07:47:00Z</dcterms:modified>
</cp:coreProperties>
</file>