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Коррупция в сфере труда. Ответственность.</w:t>
      </w:r>
    </w:p>
    <w:p w14:paraId="02000000">
      <w:r>
        <w:t>Незаконные действия (бездействие) лиц, наделенных организационно- властными и распорядительными полномочиями в рамках трудовых правоотношений при реализации любых трудовых прав и обязанностей, в том числе при приеме на работу, оплате труда, реализации трудовых гарантий, охватываются понятием коррупции, предусмотренной ст. 1 Федерального закона «О противодействии коррупции», если преследуется получение выгоды в виде денег, ценностей, иного имущества или услуг имущественного характера, иных имущественных прав для себя или для третьих лиц.</w:t>
      </w:r>
      <w:r>
        <w:br/>
      </w:r>
      <w:r>
        <w:t>Одним из способов незаконной реализации полномочий является заключение фиктивных трудовых договоров с целью увеличения трудового стажа, в том числе льготного, получения заработной платы.</w:t>
      </w:r>
      <w:r>
        <w:br/>
      </w:r>
      <w:r>
        <w:t>Прием на работу работников, не соответствующих квалификационным требованиям, изменение под указанную ситуацию трудовых функций, в конечном итоге направлены на получение доходов в виде заработной платы по должности (профессии), по которой работник не вправе его получать. Указанные действия работодателя также свидетельствует о коррупционной составляющей.</w:t>
      </w:r>
      <w:r>
        <w:br/>
      </w:r>
      <w:r>
        <w:t>Незаконным использованием физическим лицом своего должностного положения признается издание локальных актов, направленное на оплату стимулирующих выплат, не предусмотренных трудовым законодательством (к примеру, оплата северной надбавки при отсутствии условий его наступления).</w:t>
      </w:r>
      <w:r>
        <w:br/>
      </w:r>
      <w:r>
        <w:t>За коррупционные правонарушения в сфере трудовых правоотношений возможна уголовная, административная, гражданско-правовая и дисциплинарная ответственность в соответствии с законодательством Российской Федерации (ст. 13 Федерального закона «О противодействии коррупции»).</w:t>
      </w:r>
    </w:p>
    <w:p w14:paraId="03000000"/>
    <w:sectPr>
      <w:pgSz w:h="15840" w:orient="portrait" w:w="12240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List Paragraph"/>
    <w:basedOn w:val="Style_1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1_ch"/>
    <w:link w:val="Style_5"/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Intense Emphasis"/>
    <w:basedOn w:val="Style_10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10_ch"/>
    <w:link w:val="Style_12"/>
    <w:rPr>
      <w:i w:val="1"/>
      <w:color w:themeColor="accent1" w:themeShade="BF" w:val="2F5496"/>
    </w:rPr>
  </w:style>
  <w:style w:styleId="Style_13" w:type="paragraph">
    <w:name w:val="Quote"/>
    <w:basedOn w:val="Style_1"/>
    <w:next w:val="Style_1"/>
    <w:link w:val="Style_1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3_ch" w:type="character">
    <w:name w:val="Quote"/>
    <w:basedOn w:val="Style_1_ch"/>
    <w:link w:val="Style_13"/>
    <w:rPr>
      <w:i w:val="1"/>
      <w:color w:themeColor="text1" w:themeTint="BF" w:val="404040"/>
    </w:rPr>
  </w:style>
  <w:style w:styleId="Style_14" w:type="paragraph">
    <w:name w:val="toc 3"/>
    <w:next w:val="Style_1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Intense Reference"/>
    <w:basedOn w:val="Style_10"/>
    <w:link w:val="Style_16_ch"/>
    <w:rPr>
      <w:b w:val="1"/>
      <w:smallCaps w:val="1"/>
      <w:color w:themeColor="accent1" w:themeShade="BF" w:val="2F5496"/>
      <w:spacing w:val="5"/>
    </w:rPr>
  </w:style>
  <w:style w:styleId="Style_16_ch" w:type="character">
    <w:name w:val="Intense Reference"/>
    <w:basedOn w:val="Style_10_ch"/>
    <w:link w:val="Style_16"/>
    <w:rPr>
      <w:b w:val="1"/>
      <w:smallCaps w:val="1"/>
      <w:color w:themeColor="accent1" w:themeShade="BF" w:val="2F5496"/>
      <w:spacing w:val="5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Quote"/>
    <w:basedOn w:val="Style_1"/>
    <w:next w:val="Style_1"/>
    <w:link w:val="Style_26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6_ch" w:type="character">
    <w:name w:val="Intense Quote"/>
    <w:basedOn w:val="Style_1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2026-06-03T14:48:00Z</dcterms:created>
  <dcterms:modified xsi:type="dcterms:W3CDTF">2026-06-03T17:52:01Z</dcterms:modified>
</cp:coreProperties>
</file>